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64" w:rsidRDefault="00412664" w:rsidP="00412664">
      <w:pPr>
        <w:autoSpaceDE w:val="0"/>
        <w:autoSpaceDN w:val="0"/>
        <w:adjustRightInd w:val="0"/>
        <w:ind w:left="360"/>
        <w:jc w:val="center"/>
        <w:rPr>
          <w:b/>
          <w:bCs/>
          <w:color w:val="000000"/>
          <w:sz w:val="22"/>
          <w:szCs w:val="22"/>
          <w:u w:val="single"/>
        </w:rPr>
      </w:pPr>
      <w:bookmarkStart w:id="0" w:name="_GoBack"/>
      <w:bookmarkEnd w:id="0"/>
      <w:r>
        <w:rPr>
          <w:b/>
          <w:bCs/>
          <w:color w:val="000000"/>
          <w:sz w:val="22"/>
          <w:szCs w:val="22"/>
          <w:u w:val="single"/>
        </w:rPr>
        <w:t>School Year Business Office Information</w:t>
      </w:r>
      <w:r w:rsidR="00770B29">
        <w:rPr>
          <w:b/>
          <w:bCs/>
          <w:color w:val="000000"/>
          <w:sz w:val="22"/>
          <w:szCs w:val="22"/>
          <w:u w:val="single"/>
        </w:rPr>
        <w:t xml:space="preserve">- </w:t>
      </w:r>
      <w:r w:rsidR="009E660E">
        <w:rPr>
          <w:b/>
          <w:bCs/>
          <w:color w:val="000000"/>
          <w:sz w:val="22"/>
          <w:szCs w:val="22"/>
          <w:u w:val="single"/>
        </w:rPr>
        <w:t>Teachers</w:t>
      </w:r>
    </w:p>
    <w:p w:rsidR="00412664" w:rsidRDefault="00412664" w:rsidP="00412664">
      <w:pPr>
        <w:autoSpaceDE w:val="0"/>
        <w:autoSpaceDN w:val="0"/>
        <w:adjustRightInd w:val="0"/>
        <w:ind w:left="360"/>
        <w:jc w:val="center"/>
        <w:rPr>
          <w:b/>
          <w:bCs/>
          <w:color w:val="000000"/>
          <w:sz w:val="22"/>
          <w:szCs w:val="22"/>
          <w:u w:val="single"/>
        </w:rPr>
      </w:pPr>
    </w:p>
    <w:p w:rsidR="00412664" w:rsidRDefault="00412664" w:rsidP="00412664">
      <w:pPr>
        <w:autoSpaceDE w:val="0"/>
        <w:autoSpaceDN w:val="0"/>
        <w:adjustRightInd w:val="0"/>
        <w:ind w:left="360"/>
        <w:jc w:val="center"/>
        <w:rPr>
          <w:b/>
          <w:bCs/>
          <w:i/>
          <w:iCs/>
          <w:color w:val="000000"/>
          <w:sz w:val="22"/>
          <w:szCs w:val="22"/>
        </w:rPr>
      </w:pPr>
      <w:r>
        <w:rPr>
          <w:b/>
          <w:bCs/>
          <w:i/>
          <w:iCs/>
          <w:color w:val="000000"/>
          <w:sz w:val="22"/>
          <w:szCs w:val="22"/>
        </w:rPr>
        <w:t xml:space="preserve">Any numbers that appear in parenthesis (#) in the information below refer to the corresponding attachment located on the Franklinville website </w:t>
      </w:r>
      <w:hyperlink r:id="rId5" w:history="1">
        <w:r>
          <w:rPr>
            <w:b/>
            <w:bCs/>
            <w:i/>
            <w:iCs/>
            <w:color w:val="0000FF"/>
            <w:sz w:val="22"/>
            <w:szCs w:val="22"/>
            <w:u w:val="single"/>
          </w:rPr>
          <w:t>www.tbafcs.org</w:t>
        </w:r>
      </w:hyperlink>
      <w:r>
        <w:rPr>
          <w:b/>
          <w:bCs/>
          <w:i/>
          <w:iCs/>
          <w:color w:val="000000"/>
          <w:sz w:val="22"/>
          <w:szCs w:val="22"/>
        </w:rPr>
        <w:t xml:space="preserve">, on the far right hand side click on the shortcut “Business Office Frequently Used Forms”. </w:t>
      </w:r>
    </w:p>
    <w:p w:rsidR="00412664" w:rsidRDefault="00412664" w:rsidP="00E247F0">
      <w:pPr>
        <w:autoSpaceDE w:val="0"/>
        <w:autoSpaceDN w:val="0"/>
        <w:adjustRightInd w:val="0"/>
        <w:ind w:left="360"/>
        <w:jc w:val="center"/>
        <w:rPr>
          <w:rFonts w:ascii="Helv" w:hAnsi="Helv" w:cs="Helv"/>
          <w:color w:val="000000"/>
          <w:sz w:val="20"/>
          <w:szCs w:val="20"/>
        </w:rPr>
      </w:pPr>
      <w:r>
        <w:rPr>
          <w:b/>
          <w:bCs/>
          <w:i/>
          <w:iCs/>
          <w:color w:val="000000"/>
          <w:sz w:val="22"/>
          <w:szCs w:val="22"/>
          <w:u w:val="single"/>
        </w:rPr>
        <w:t>OR</w:t>
      </w:r>
      <w:r>
        <w:rPr>
          <w:b/>
          <w:bCs/>
          <w:i/>
          <w:iCs/>
          <w:color w:val="000000"/>
          <w:sz w:val="22"/>
          <w:szCs w:val="22"/>
        </w:rPr>
        <w:t xml:space="preserve"> you can click on the following link: </w:t>
      </w:r>
      <w:r>
        <w:rPr>
          <w:rFonts w:ascii="Helv" w:hAnsi="Helv" w:cs="Helv"/>
          <w:color w:val="000000"/>
          <w:sz w:val="20"/>
          <w:szCs w:val="20"/>
        </w:rPr>
        <w:t>http://www.tbafcs.org/site/Default.aspx?PageID=50</w:t>
      </w:r>
    </w:p>
    <w:p w:rsidR="00412664" w:rsidRDefault="00412664" w:rsidP="00412664">
      <w:pPr>
        <w:autoSpaceDE w:val="0"/>
        <w:autoSpaceDN w:val="0"/>
        <w:adjustRightInd w:val="0"/>
        <w:ind w:left="360"/>
        <w:rPr>
          <w:rFonts w:ascii="Helv" w:hAnsi="Helv" w:cs="Helv"/>
          <w:color w:val="000000"/>
          <w:sz w:val="20"/>
          <w:szCs w:val="20"/>
        </w:rPr>
      </w:pPr>
    </w:p>
    <w:p w:rsidR="00412664" w:rsidRDefault="00F9549A" w:rsidP="00412664">
      <w:pPr>
        <w:tabs>
          <w:tab w:val="left" w:pos="720"/>
        </w:tabs>
        <w:autoSpaceDE w:val="0"/>
        <w:autoSpaceDN w:val="0"/>
        <w:adjustRightInd w:val="0"/>
        <w:ind w:left="720" w:hanging="360"/>
        <w:rPr>
          <w:color w:val="000000"/>
          <w:sz w:val="22"/>
          <w:szCs w:val="22"/>
        </w:rPr>
      </w:pPr>
      <w:r>
        <w:rPr>
          <w:color w:val="000000"/>
          <w:sz w:val="22"/>
          <w:szCs w:val="22"/>
        </w:rPr>
        <w:t>1.</w:t>
      </w:r>
      <w:r>
        <w:rPr>
          <w:color w:val="000000"/>
          <w:sz w:val="22"/>
          <w:szCs w:val="22"/>
        </w:rPr>
        <w:tab/>
        <w:t>Please notify the B</w:t>
      </w:r>
      <w:r w:rsidR="00412664">
        <w:rPr>
          <w:color w:val="000000"/>
          <w:sz w:val="22"/>
          <w:szCs w:val="22"/>
        </w:rPr>
        <w:t xml:space="preserve">usiness </w:t>
      </w:r>
      <w:r>
        <w:rPr>
          <w:color w:val="000000"/>
          <w:sz w:val="22"/>
          <w:szCs w:val="22"/>
        </w:rPr>
        <w:t>O</w:t>
      </w:r>
      <w:r w:rsidR="00412664">
        <w:rPr>
          <w:color w:val="000000"/>
          <w:sz w:val="22"/>
          <w:szCs w:val="22"/>
        </w:rPr>
        <w:t xml:space="preserve">ffice immediately of any changes in address, phone number, or family status. </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2.</w:t>
      </w:r>
      <w:r>
        <w:rPr>
          <w:color w:val="000000"/>
          <w:sz w:val="22"/>
          <w:szCs w:val="22"/>
        </w:rPr>
        <w:tab/>
        <w:t xml:space="preserve">Consider filling out a new Federal W4 form </w:t>
      </w:r>
      <w:r>
        <w:rPr>
          <w:b/>
          <w:bCs/>
          <w:color w:val="000000"/>
          <w:sz w:val="22"/>
          <w:szCs w:val="22"/>
        </w:rPr>
        <w:t>(#1)</w:t>
      </w:r>
      <w:r>
        <w:rPr>
          <w:color w:val="000000"/>
          <w:sz w:val="22"/>
          <w:szCs w:val="22"/>
        </w:rPr>
        <w:t xml:space="preserve"> for federal tax deductions or NYS IT-2104 </w:t>
      </w:r>
      <w:r>
        <w:rPr>
          <w:b/>
          <w:bCs/>
          <w:color w:val="000000"/>
          <w:sz w:val="22"/>
          <w:szCs w:val="22"/>
        </w:rPr>
        <w:t>(#2)</w:t>
      </w:r>
      <w:r>
        <w:rPr>
          <w:color w:val="000000"/>
          <w:sz w:val="22"/>
          <w:szCs w:val="22"/>
        </w:rPr>
        <w:t xml:space="preserve"> for NYS Tax Deductions if you had any changes in personal or financial status. </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3.</w:t>
      </w:r>
      <w:r>
        <w:rPr>
          <w:color w:val="000000"/>
          <w:sz w:val="22"/>
          <w:szCs w:val="22"/>
        </w:rPr>
        <w:tab/>
        <w:t xml:space="preserve">Time sheets, claim forms, </w:t>
      </w:r>
      <w:proofErr w:type="spellStart"/>
      <w:r>
        <w:rPr>
          <w:color w:val="000000"/>
          <w:sz w:val="22"/>
          <w:szCs w:val="22"/>
        </w:rPr>
        <w:t>etc</w:t>
      </w:r>
      <w:proofErr w:type="spellEnd"/>
      <w:r>
        <w:rPr>
          <w:color w:val="000000"/>
          <w:sz w:val="22"/>
          <w:szCs w:val="22"/>
        </w:rPr>
        <w:t xml:space="preserve"> must be signed, approved, and turned in to the Business Office no later than 3:00 p.m. on the prior Thursday before payday.  If they arrive later than this time then they will be processed on the following payroll.</w:t>
      </w:r>
    </w:p>
    <w:p w:rsidR="00412664" w:rsidRDefault="00412664" w:rsidP="00412664">
      <w:pPr>
        <w:autoSpaceDE w:val="0"/>
        <w:autoSpaceDN w:val="0"/>
        <w:adjustRightInd w:val="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4.</w:t>
      </w:r>
      <w:r>
        <w:rPr>
          <w:color w:val="000000"/>
          <w:sz w:val="22"/>
          <w:szCs w:val="22"/>
        </w:rPr>
        <w:tab/>
        <w:t>If you are not already on direct deposit for payroll</w:t>
      </w:r>
      <w:r w:rsidR="00F9549A">
        <w:rPr>
          <w:color w:val="000000"/>
          <w:sz w:val="22"/>
          <w:szCs w:val="22"/>
        </w:rPr>
        <w:t xml:space="preserve">, </w:t>
      </w:r>
      <w:r w:rsidR="008F4CAF">
        <w:rPr>
          <w:color w:val="000000"/>
          <w:sz w:val="22"/>
          <w:szCs w:val="22"/>
        </w:rPr>
        <w:t>it is required</w:t>
      </w:r>
      <w:r>
        <w:rPr>
          <w:color w:val="000000"/>
          <w:sz w:val="22"/>
          <w:szCs w:val="22"/>
        </w:rPr>
        <w:t xml:space="preserve"> that you do so by filling out a Direct Deposit Form </w:t>
      </w:r>
      <w:r>
        <w:rPr>
          <w:b/>
          <w:bCs/>
          <w:color w:val="000000"/>
          <w:sz w:val="22"/>
          <w:szCs w:val="22"/>
        </w:rPr>
        <w:t>(#3).</w:t>
      </w:r>
      <w:r>
        <w:rPr>
          <w:color w:val="000000"/>
          <w:sz w:val="22"/>
          <w:szCs w:val="22"/>
        </w:rPr>
        <w:t xml:space="preserve"> You will still get a direct deposit statement that tells you exactly what was put into your bank account, any deductions taken, and atten</w:t>
      </w:r>
      <w:r w:rsidR="00F9549A">
        <w:rPr>
          <w:color w:val="000000"/>
          <w:sz w:val="22"/>
          <w:szCs w:val="22"/>
        </w:rPr>
        <w:t>dance balances. If you use Tri-C</w:t>
      </w:r>
      <w:r>
        <w:rPr>
          <w:color w:val="000000"/>
          <w:sz w:val="22"/>
          <w:szCs w:val="22"/>
        </w:rPr>
        <w:t xml:space="preserve">ounty Federal Credit Union and would like to change any deposits or deductions, you need to come to the </w:t>
      </w:r>
      <w:r w:rsidR="00F9549A">
        <w:rPr>
          <w:color w:val="000000"/>
          <w:sz w:val="22"/>
          <w:szCs w:val="22"/>
        </w:rPr>
        <w:t>Business O</w:t>
      </w:r>
      <w:r>
        <w:rPr>
          <w:color w:val="000000"/>
          <w:sz w:val="22"/>
          <w:szCs w:val="22"/>
        </w:rPr>
        <w:t xml:space="preserve">ffice as that form is in triplicate so we cannot post as an attachment. </w:t>
      </w:r>
    </w:p>
    <w:p w:rsidR="009A573E" w:rsidRPr="008F4CAF" w:rsidRDefault="00412664" w:rsidP="008F4CAF">
      <w:pPr>
        <w:tabs>
          <w:tab w:val="left" w:pos="720"/>
        </w:tabs>
        <w:autoSpaceDE w:val="0"/>
        <w:autoSpaceDN w:val="0"/>
        <w:adjustRightInd w:val="0"/>
        <w:ind w:left="720" w:hanging="360"/>
        <w:rPr>
          <w:color w:val="000000"/>
          <w:sz w:val="22"/>
          <w:szCs w:val="22"/>
        </w:rPr>
      </w:pPr>
      <w:r>
        <w:rPr>
          <w:color w:val="000000"/>
          <w:sz w:val="22"/>
          <w:szCs w:val="22"/>
        </w:rPr>
        <w:tab/>
        <w:t xml:space="preserve">**We remind you that you may also sign into </w:t>
      </w:r>
      <w:proofErr w:type="spellStart"/>
      <w:r>
        <w:rPr>
          <w:color w:val="000000"/>
          <w:sz w:val="22"/>
          <w:szCs w:val="22"/>
        </w:rPr>
        <w:t>WinCap</w:t>
      </w:r>
      <w:proofErr w:type="spellEnd"/>
      <w:r>
        <w:rPr>
          <w:color w:val="000000"/>
          <w:sz w:val="22"/>
          <w:szCs w:val="22"/>
        </w:rPr>
        <w:t xml:space="preserve"> Web to see your paychecks one day prior to payday. Your username is your e-mail address and if you need your password reset, please e-mail </w:t>
      </w:r>
      <w:r w:rsidR="009A573E">
        <w:rPr>
          <w:color w:val="000000"/>
          <w:sz w:val="22"/>
          <w:szCs w:val="22"/>
        </w:rPr>
        <w:t>Daniele Vecchio</w:t>
      </w:r>
      <w:r w:rsidR="008F4CAF">
        <w:rPr>
          <w:color w:val="000000"/>
          <w:sz w:val="22"/>
          <w:szCs w:val="22"/>
        </w:rPr>
        <w:t>.</w:t>
      </w:r>
    </w:p>
    <w:p w:rsidR="00412664" w:rsidRDefault="00412664" w:rsidP="00412664">
      <w:pPr>
        <w:autoSpaceDE w:val="0"/>
        <w:autoSpaceDN w:val="0"/>
        <w:adjustRightInd w:val="0"/>
        <w:rPr>
          <w:color w:val="000000"/>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5.</w:t>
      </w:r>
      <w:r>
        <w:rPr>
          <w:color w:val="000000"/>
          <w:sz w:val="22"/>
          <w:szCs w:val="22"/>
        </w:rPr>
        <w:tab/>
      </w:r>
      <w:r w:rsidR="00BB2A60">
        <w:rPr>
          <w:color w:val="000000"/>
          <w:sz w:val="22"/>
          <w:szCs w:val="22"/>
        </w:rPr>
        <w:t>When</w:t>
      </w:r>
      <w:r>
        <w:rPr>
          <w:color w:val="000000"/>
          <w:sz w:val="22"/>
          <w:szCs w:val="22"/>
        </w:rPr>
        <w:t xml:space="preserve"> you receive your first check, please verify the information and ensure that your deductions are correct. This should include that you are receiving the correct pay frequency of either 21 or 26 pays of your choice</w:t>
      </w:r>
      <w:r w:rsidR="00BB2A60">
        <w:rPr>
          <w:color w:val="000000"/>
          <w:sz w:val="22"/>
          <w:szCs w:val="22"/>
        </w:rPr>
        <w:t xml:space="preserve">. </w:t>
      </w:r>
      <w:r w:rsidR="009E660E">
        <w:rPr>
          <w:color w:val="000000"/>
          <w:sz w:val="22"/>
          <w:szCs w:val="22"/>
        </w:rPr>
        <w:t xml:space="preserve">Please be sure to fill out a Request for Salary Adjustment </w:t>
      </w:r>
      <w:r w:rsidR="009E660E">
        <w:rPr>
          <w:b/>
          <w:bCs/>
          <w:color w:val="000000"/>
          <w:sz w:val="22"/>
          <w:szCs w:val="22"/>
        </w:rPr>
        <w:t>(#4)</w:t>
      </w:r>
      <w:r w:rsidR="009E660E">
        <w:rPr>
          <w:color w:val="000000"/>
          <w:sz w:val="22"/>
          <w:szCs w:val="22"/>
        </w:rPr>
        <w:t xml:space="preserve"> if you have completed any graduate coursework.  </w:t>
      </w:r>
      <w:r>
        <w:rPr>
          <w:color w:val="000000"/>
          <w:sz w:val="22"/>
          <w:szCs w:val="22"/>
        </w:rPr>
        <w:t>Please remember that if you are participating in the District health insurance plan that you will be contributing</w:t>
      </w:r>
      <w:r w:rsidR="008F4CAF">
        <w:rPr>
          <w:color w:val="000000"/>
          <w:sz w:val="22"/>
          <w:szCs w:val="22"/>
        </w:rPr>
        <w:t xml:space="preserve"> to</w:t>
      </w:r>
      <w:r>
        <w:rPr>
          <w:color w:val="000000"/>
          <w:sz w:val="22"/>
          <w:szCs w:val="22"/>
        </w:rPr>
        <w:t xml:space="preserve"> the cost of the premium for the </w:t>
      </w:r>
      <w:r w:rsidR="00745B64">
        <w:rPr>
          <w:color w:val="000000"/>
          <w:sz w:val="22"/>
          <w:szCs w:val="22"/>
        </w:rPr>
        <w:t>upcoming</w:t>
      </w:r>
      <w:r>
        <w:rPr>
          <w:color w:val="000000"/>
          <w:sz w:val="22"/>
          <w:szCs w:val="22"/>
        </w:rPr>
        <w:t xml:space="preserve"> school year</w:t>
      </w:r>
      <w:r w:rsidR="008F4CAF">
        <w:rPr>
          <w:color w:val="000000"/>
          <w:sz w:val="22"/>
          <w:szCs w:val="22"/>
        </w:rPr>
        <w:t xml:space="preserve"> per contract</w:t>
      </w:r>
      <w:r>
        <w:rPr>
          <w:color w:val="000000"/>
          <w:sz w:val="22"/>
          <w:szCs w:val="22"/>
        </w:rPr>
        <w:t xml:space="preserve">. These contributions will be deducted pre-tax from your paychecks. We have already set this up for you, you do NOT need to do anything at this time. </w:t>
      </w:r>
      <w:r w:rsidR="005A330F" w:rsidRPr="008F4CAF">
        <w:rPr>
          <w:color w:val="000000"/>
          <w:sz w:val="22"/>
          <w:szCs w:val="22"/>
        </w:rPr>
        <w:t xml:space="preserve">This deduction occurs over 19 pays beginning </w:t>
      </w:r>
      <w:r w:rsidR="008F4CAF" w:rsidRPr="008F4CAF">
        <w:rPr>
          <w:color w:val="000000"/>
          <w:sz w:val="22"/>
          <w:szCs w:val="22"/>
        </w:rPr>
        <w:t xml:space="preserve">with the first pay in </w:t>
      </w:r>
      <w:r w:rsidR="005A330F" w:rsidRPr="008F4CAF">
        <w:rPr>
          <w:color w:val="000000"/>
          <w:sz w:val="22"/>
          <w:szCs w:val="22"/>
        </w:rPr>
        <w:t xml:space="preserve">October through </w:t>
      </w:r>
      <w:r w:rsidR="008F4CAF" w:rsidRPr="008F4CAF">
        <w:rPr>
          <w:color w:val="000000"/>
          <w:sz w:val="22"/>
          <w:szCs w:val="22"/>
        </w:rPr>
        <w:t>the final pay in June</w:t>
      </w:r>
      <w:r w:rsidR="005A330F" w:rsidRPr="008F4CAF">
        <w:rPr>
          <w:color w:val="000000"/>
          <w:sz w:val="22"/>
          <w:szCs w:val="22"/>
        </w:rPr>
        <w:t>.</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rPr>
      </w:pPr>
      <w:r>
        <w:rPr>
          <w:color w:val="000000"/>
        </w:rPr>
        <w:t>6.</w:t>
      </w:r>
      <w:r>
        <w:rPr>
          <w:color w:val="000000"/>
        </w:rPr>
        <w:tab/>
        <w:t xml:space="preserve">Flexible Benefits Plan </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Administered by P&amp;A Admin Group.</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Purpose: Pre-tax deductions that can be used for payment of medical, dental, vision and day care expenses that are only partially covered or not covered at all by your insurance.</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Enroll</w:t>
      </w:r>
      <w:r w:rsidR="009A573E">
        <w:rPr>
          <w:color w:val="000000"/>
        </w:rPr>
        <w:t xml:space="preserve">ment period begins </w:t>
      </w:r>
      <w:r w:rsidR="008F4CAF">
        <w:rPr>
          <w:color w:val="000000"/>
        </w:rPr>
        <w:t>the 1</w:t>
      </w:r>
      <w:r w:rsidR="008F4CAF" w:rsidRPr="008F4CAF">
        <w:rPr>
          <w:color w:val="000000"/>
          <w:vertAlign w:val="superscript"/>
        </w:rPr>
        <w:t>st</w:t>
      </w:r>
      <w:r w:rsidR="008F4CAF">
        <w:rPr>
          <w:color w:val="000000"/>
        </w:rPr>
        <w:t xml:space="preserve"> day of September</w:t>
      </w:r>
      <w:r w:rsidR="009A573E">
        <w:rPr>
          <w:color w:val="000000"/>
        </w:rPr>
        <w:t xml:space="preserve"> and </w:t>
      </w:r>
      <w:r w:rsidR="008F4CAF">
        <w:rPr>
          <w:color w:val="000000"/>
        </w:rPr>
        <w:t>will end the third week of September.</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You</w:t>
      </w:r>
      <w:proofErr w:type="gramEnd"/>
      <w:r>
        <w:rPr>
          <w:color w:val="000000"/>
        </w:rPr>
        <w:t xml:space="preserve"> will enroll online </w:t>
      </w:r>
      <w:r>
        <w:rPr>
          <w:b/>
          <w:bCs/>
          <w:color w:val="000000"/>
        </w:rPr>
        <w:t xml:space="preserve">(#5) </w:t>
      </w:r>
      <w:r>
        <w:rPr>
          <w:color w:val="000000"/>
        </w:rPr>
        <w:t xml:space="preserve">which will allow you to create an account, and track your balances. </w:t>
      </w:r>
    </w:p>
    <w:p w:rsidR="00412664" w:rsidRDefault="00412664" w:rsidP="00412664">
      <w:pPr>
        <w:tabs>
          <w:tab w:val="left" w:pos="1440"/>
        </w:tabs>
        <w:autoSpaceDE w:val="0"/>
        <w:autoSpaceDN w:val="0"/>
        <w:adjustRightInd w:val="0"/>
        <w:ind w:left="1440" w:hanging="360"/>
        <w:rPr>
          <w:b/>
          <w:bCs/>
          <w:color w:val="000000"/>
        </w:rPr>
      </w:pPr>
      <w:r>
        <w:rPr>
          <w:rFonts w:ascii="Wingdings" w:hAnsi="Wingdings" w:cs="Wingdings"/>
          <w:color w:val="000000"/>
        </w:rPr>
        <w:t></w:t>
      </w:r>
      <w:r>
        <w:rPr>
          <w:rFonts w:ascii="Wingdings" w:hAnsi="Wingdings" w:cs="Wingdings"/>
          <w:color w:val="000000"/>
        </w:rPr>
        <w:tab/>
      </w:r>
      <w:r>
        <w:rPr>
          <w:color w:val="000000"/>
        </w:rPr>
        <w:t xml:space="preserve">Other forms: Dependent care </w:t>
      </w:r>
      <w:r>
        <w:rPr>
          <w:b/>
          <w:bCs/>
          <w:color w:val="000000"/>
        </w:rPr>
        <w:t>(#6),</w:t>
      </w:r>
      <w:r>
        <w:rPr>
          <w:color w:val="000000"/>
        </w:rPr>
        <w:t xml:space="preserve"> Claim </w:t>
      </w:r>
      <w:proofErr w:type="gramStart"/>
      <w:r>
        <w:rPr>
          <w:color w:val="000000"/>
        </w:rPr>
        <w:t>Form</w:t>
      </w:r>
      <w:r>
        <w:rPr>
          <w:b/>
          <w:bCs/>
          <w:color w:val="000000"/>
        </w:rPr>
        <w:t>(</w:t>
      </w:r>
      <w:proofErr w:type="gramEnd"/>
      <w:r>
        <w:rPr>
          <w:b/>
          <w:bCs/>
          <w:color w:val="000000"/>
        </w:rPr>
        <w:t>#7),</w:t>
      </w:r>
      <w:r>
        <w:rPr>
          <w:color w:val="000000"/>
        </w:rPr>
        <w:t xml:space="preserve"> Direct Deposit </w:t>
      </w:r>
      <w:r>
        <w:rPr>
          <w:b/>
          <w:bCs/>
          <w:color w:val="000000"/>
        </w:rPr>
        <w:t>(#8).</w:t>
      </w:r>
    </w:p>
    <w:p w:rsidR="00412664" w:rsidRPr="008F4CAF" w:rsidRDefault="00412664" w:rsidP="008F4CAF">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You</w:t>
      </w:r>
      <w:proofErr w:type="gramEnd"/>
      <w:r>
        <w:rPr>
          <w:color w:val="000000"/>
        </w:rPr>
        <w:t xml:space="preserve"> will receive a benefits card: You can use your FSA Benefits card at any authorized merchant or healthcare provider that accepts Master Card.</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lastRenderedPageBreak/>
        <w:t></w:t>
      </w:r>
      <w:r>
        <w:rPr>
          <w:rFonts w:ascii="Wingdings" w:hAnsi="Wingdings" w:cs="Wingdings"/>
          <w:color w:val="000000"/>
        </w:rPr>
        <w:tab/>
      </w:r>
      <w:r>
        <w:rPr>
          <w:color w:val="000000"/>
        </w:rPr>
        <w:t xml:space="preserve">Amount that you </w:t>
      </w:r>
      <w:r w:rsidRPr="008F4CAF">
        <w:rPr>
          <w:color w:val="000000"/>
        </w:rPr>
        <w:t xml:space="preserve">elect is </w:t>
      </w:r>
      <w:r w:rsidR="00BB2A60" w:rsidRPr="008F4CAF">
        <w:rPr>
          <w:color w:val="000000"/>
        </w:rPr>
        <w:t xml:space="preserve">a </w:t>
      </w:r>
      <w:r w:rsidR="008F4CAF" w:rsidRPr="008F4CAF">
        <w:rPr>
          <w:color w:val="000000"/>
        </w:rPr>
        <w:t>deduction that occurs over 19 pays beginning with the first pay in October through the final pay in June.</w:t>
      </w:r>
    </w:p>
    <w:p w:rsidR="00412664" w:rsidRDefault="00412664" w:rsidP="00412664">
      <w:pPr>
        <w:autoSpaceDE w:val="0"/>
        <w:autoSpaceDN w:val="0"/>
        <w:adjustRightInd w:val="0"/>
        <w:rPr>
          <w:color w:val="000000"/>
        </w:rPr>
      </w:pPr>
    </w:p>
    <w:p w:rsidR="00412664" w:rsidRDefault="00412664" w:rsidP="00BB2A60">
      <w:pPr>
        <w:tabs>
          <w:tab w:val="left" w:pos="720"/>
        </w:tabs>
        <w:autoSpaceDE w:val="0"/>
        <w:autoSpaceDN w:val="0"/>
        <w:adjustRightInd w:val="0"/>
        <w:ind w:left="720" w:hanging="360"/>
        <w:rPr>
          <w:color w:val="000000"/>
        </w:rPr>
      </w:pPr>
      <w:r>
        <w:rPr>
          <w:color w:val="000000"/>
        </w:rPr>
        <w:t>7.</w:t>
      </w:r>
      <w:r>
        <w:rPr>
          <w:color w:val="000000"/>
        </w:rPr>
        <w:tab/>
        <w:t>TSA Plan (403b or 457b plan)</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 xml:space="preserve">403b administered by The Omni Group, 457b administered by NYS. </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 xml:space="preserve">Purpose: You can contribute money into a retirement account from your paycheck </w:t>
      </w:r>
      <w:r>
        <w:rPr>
          <w:i/>
          <w:iCs/>
          <w:color w:val="000000"/>
        </w:rPr>
        <w:t>pre-</w:t>
      </w:r>
      <w:r>
        <w:rPr>
          <w:color w:val="000000"/>
        </w:rPr>
        <w:t>tax. Both your contributions and any earnings you make from investing your money have the opportunity to grow tax-deferred until you make withdrawals, which are taxed as ordinary income in retirement.</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If</w:t>
      </w:r>
      <w:proofErr w:type="gramEnd"/>
      <w:r>
        <w:rPr>
          <w:color w:val="000000"/>
        </w:rPr>
        <w:t xml:space="preserve"> you wish to participate in a 403b plan, then you must use one of the approved service providers listed below and contact that account representative to set-up an account.  After your account has been set-up, then you need to fill out an OMNI Deduction form </w:t>
      </w:r>
      <w:r>
        <w:rPr>
          <w:b/>
          <w:bCs/>
          <w:color w:val="000000"/>
        </w:rPr>
        <w:t xml:space="preserve">(#9) </w:t>
      </w:r>
      <w:r>
        <w:rPr>
          <w:color w:val="000000"/>
        </w:rPr>
        <w:t xml:space="preserve">also. </w:t>
      </w:r>
    </w:p>
    <w:p w:rsidR="00412664" w:rsidRDefault="00412664" w:rsidP="00412664">
      <w:pPr>
        <w:autoSpaceDE w:val="0"/>
        <w:autoSpaceDN w:val="0"/>
        <w:adjustRightInd w:val="0"/>
        <w:ind w:left="1080"/>
        <w:rPr>
          <w:color w:val="000000"/>
        </w:rPr>
      </w:pPr>
    </w:p>
    <w:tbl>
      <w:tblPr>
        <w:tblW w:w="5519" w:type="dxa"/>
        <w:tblCellSpacing w:w="15" w:type="dxa"/>
        <w:tblCellMar>
          <w:top w:w="15" w:type="dxa"/>
          <w:left w:w="15" w:type="dxa"/>
          <w:bottom w:w="15" w:type="dxa"/>
          <w:right w:w="15" w:type="dxa"/>
        </w:tblCellMar>
        <w:tblLook w:val="04A0" w:firstRow="1" w:lastRow="0" w:firstColumn="1" w:lastColumn="0" w:noHBand="0" w:noVBand="1"/>
      </w:tblPr>
      <w:tblGrid>
        <w:gridCol w:w="425"/>
        <w:gridCol w:w="2272"/>
        <w:gridCol w:w="2822"/>
      </w:tblGrid>
      <w:tr w:rsidR="009E660E" w:rsidTr="009E660E">
        <w:trPr>
          <w:trHeight w:val="335"/>
          <w:tblCellSpacing w:w="15" w:type="dxa"/>
        </w:trPr>
        <w:tc>
          <w:tcPr>
            <w:tcW w:w="0" w:type="auto"/>
            <w:hideMark/>
          </w:tcPr>
          <w:p w:rsidR="009E660E" w:rsidRDefault="009E660E" w:rsidP="009E660E"/>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6" w:history="1">
              <w:r w:rsidRPr="009E660E">
                <w:rPr>
                  <w:rStyle w:val="Hyperlink"/>
                  <w:color w:val="auto"/>
                  <w:sz w:val="16"/>
                  <w:szCs w:val="16"/>
                  <w:u w:val="none"/>
                </w:rPr>
                <w:t xml:space="preserve">AXA Equitable Life </w:t>
              </w:r>
              <w:r w:rsidRPr="009E660E">
                <w:rPr>
                  <w:rStyle w:val="Hyperlink"/>
                  <w:color w:val="auto"/>
                  <w:sz w:val="16"/>
                  <w:szCs w:val="16"/>
                  <w:u w:val="none"/>
                </w:rPr>
                <w:t>Insurance Company</w:t>
              </w:r>
            </w:hyperlink>
            <w:r w:rsidRPr="009E660E">
              <w:rPr>
                <w:sz w:val="16"/>
                <w:szCs w:val="16"/>
              </w:rPr>
              <w:t xml:space="preserve">   </w:t>
            </w:r>
          </w:p>
        </w:tc>
      </w:tr>
      <w:tr w:rsidR="009E660E" w:rsidTr="009E660E">
        <w:trPr>
          <w:trHeight w:val="254"/>
          <w:tblCellSpacing w:w="15" w:type="dxa"/>
        </w:trPr>
        <w:tc>
          <w:tcPr>
            <w:tcW w:w="0" w:type="auto"/>
            <w:hideMark/>
          </w:tcPr>
          <w:p w:rsidR="009E660E" w:rsidRDefault="009E660E" w:rsidP="009E660E">
            <w:r>
              <w:rPr>
                <w:noProof/>
              </w:rPr>
              <w:drawing>
                <wp:inline distT="0" distB="0" distL="0" distR="0" wp14:anchorId="79B62AB6" wp14:editId="5C918E63">
                  <wp:extent cx="141605" cy="149860"/>
                  <wp:effectExtent l="0" t="0" r="0" b="0"/>
                  <wp:docPr id="35" name="Picture 35" descr="https://www.omni403b.com/images/planDet_P3_NoEnrollme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mni403b.com/images/planDet_P3_NoEnrollmen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 cy="149860"/>
                          </a:xfrm>
                          <a:prstGeom prst="rect">
                            <a:avLst/>
                          </a:prstGeom>
                          <a:noFill/>
                          <a:ln>
                            <a:noFill/>
                          </a:ln>
                        </pic:spPr>
                      </pic:pic>
                    </a:graphicData>
                  </a:graphic>
                </wp:inline>
              </w:drawing>
            </w:r>
          </w:p>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8" w:history="1">
              <w:r w:rsidRPr="009E660E">
                <w:rPr>
                  <w:rStyle w:val="Hyperlink"/>
                  <w:color w:val="auto"/>
                  <w:sz w:val="16"/>
                  <w:szCs w:val="16"/>
                  <w:u w:val="none"/>
                </w:rPr>
                <w:t>MetLife</w:t>
              </w:r>
            </w:hyperlink>
            <w:r w:rsidRPr="009E660E">
              <w:rPr>
                <w:sz w:val="16"/>
                <w:szCs w:val="16"/>
              </w:rPr>
              <w:t xml:space="preserve">   </w:t>
            </w:r>
          </w:p>
        </w:tc>
      </w:tr>
      <w:tr w:rsidR="009E660E" w:rsidTr="009E660E">
        <w:trPr>
          <w:trHeight w:val="323"/>
          <w:tblCellSpacing w:w="15" w:type="dxa"/>
        </w:trPr>
        <w:tc>
          <w:tcPr>
            <w:tcW w:w="0" w:type="auto"/>
            <w:hideMark/>
          </w:tcPr>
          <w:p w:rsidR="009E660E" w:rsidRDefault="009E660E" w:rsidP="009E660E">
            <w:r>
              <w:rPr>
                <w:noProof/>
              </w:rPr>
              <w:drawing>
                <wp:inline distT="0" distB="0" distL="0" distR="0" wp14:anchorId="21309F57" wp14:editId="615D8819">
                  <wp:extent cx="141605" cy="149860"/>
                  <wp:effectExtent l="0" t="0" r="0" b="0"/>
                  <wp:docPr id="28" name="Picture 28" descr="https://www.omni403b.com/images/planDet_P3_NoEnrollme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mni403b.com/images/planDet_P3_NoEnrollmen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 cy="149860"/>
                          </a:xfrm>
                          <a:prstGeom prst="rect">
                            <a:avLst/>
                          </a:prstGeom>
                          <a:noFill/>
                          <a:ln>
                            <a:noFill/>
                          </a:ln>
                        </pic:spPr>
                      </pic:pic>
                    </a:graphicData>
                  </a:graphic>
                </wp:inline>
              </w:drawing>
            </w:r>
          </w:p>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9" w:history="1">
              <w:r w:rsidRPr="009E660E">
                <w:rPr>
                  <w:rStyle w:val="Hyperlink"/>
                  <w:color w:val="auto"/>
                  <w:sz w:val="16"/>
                  <w:szCs w:val="16"/>
                  <w:u w:val="none"/>
                </w:rPr>
                <w:t>NY Life Ins. &amp; Annuity Corp.</w:t>
              </w:r>
            </w:hyperlink>
            <w:r w:rsidRPr="009E660E">
              <w:rPr>
                <w:sz w:val="16"/>
                <w:szCs w:val="16"/>
              </w:rPr>
              <w:t xml:space="preserve">   </w:t>
            </w:r>
          </w:p>
        </w:tc>
      </w:tr>
      <w:tr w:rsidR="009E660E" w:rsidTr="009E660E">
        <w:trPr>
          <w:trHeight w:val="254"/>
          <w:tblCellSpacing w:w="15" w:type="dxa"/>
        </w:trPr>
        <w:tc>
          <w:tcPr>
            <w:tcW w:w="0" w:type="auto"/>
            <w:hideMark/>
          </w:tcPr>
          <w:p w:rsidR="009E660E" w:rsidRDefault="009E660E" w:rsidP="009E660E">
            <w:r>
              <w:rPr>
                <w:noProof/>
              </w:rPr>
              <w:drawing>
                <wp:inline distT="0" distB="0" distL="0" distR="0" wp14:anchorId="66E3AD2B" wp14:editId="477735B2">
                  <wp:extent cx="141605" cy="149860"/>
                  <wp:effectExtent l="0" t="0" r="0" b="0"/>
                  <wp:docPr id="21" name="Picture 21" descr="https://www.omni403b.com/images/planDet_P3_NoEnrollme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mni403b.com/images/planDet_P3_NoEnrollmen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 cy="149860"/>
                          </a:xfrm>
                          <a:prstGeom prst="rect">
                            <a:avLst/>
                          </a:prstGeom>
                          <a:noFill/>
                          <a:ln>
                            <a:noFill/>
                          </a:ln>
                        </pic:spPr>
                      </pic:pic>
                    </a:graphicData>
                  </a:graphic>
                </wp:inline>
              </w:drawing>
            </w:r>
          </w:p>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10" w:history="1">
              <w:proofErr w:type="spellStart"/>
              <w:r w:rsidRPr="009E660E">
                <w:rPr>
                  <w:rStyle w:val="Hyperlink"/>
                  <w:color w:val="auto"/>
                  <w:sz w:val="16"/>
                  <w:szCs w:val="16"/>
                  <w:u w:val="none"/>
                </w:rPr>
                <w:t>PlanMember</w:t>
              </w:r>
              <w:proofErr w:type="spellEnd"/>
              <w:r w:rsidRPr="009E660E">
                <w:rPr>
                  <w:rStyle w:val="Hyperlink"/>
                  <w:color w:val="auto"/>
                  <w:sz w:val="16"/>
                  <w:szCs w:val="16"/>
                  <w:u w:val="none"/>
                </w:rPr>
                <w:t xml:space="preserve"> Services Corp.</w:t>
              </w:r>
            </w:hyperlink>
            <w:r w:rsidRPr="009E660E">
              <w:rPr>
                <w:sz w:val="16"/>
                <w:szCs w:val="16"/>
              </w:rPr>
              <w:t xml:space="preserve">   </w:t>
            </w:r>
          </w:p>
        </w:tc>
      </w:tr>
      <w:tr w:rsidR="009E660E" w:rsidTr="009E660E">
        <w:trPr>
          <w:trHeight w:val="335"/>
          <w:tblCellSpacing w:w="15" w:type="dxa"/>
        </w:trPr>
        <w:tc>
          <w:tcPr>
            <w:tcW w:w="0" w:type="auto"/>
            <w:hideMark/>
          </w:tcPr>
          <w:p w:rsidR="009E660E" w:rsidRDefault="009E660E" w:rsidP="009E660E">
            <w:r>
              <w:rPr>
                <w:noProof/>
              </w:rPr>
              <w:drawing>
                <wp:inline distT="0" distB="0" distL="0" distR="0" wp14:anchorId="765150AA" wp14:editId="2890889D">
                  <wp:extent cx="141605" cy="149860"/>
                  <wp:effectExtent l="0" t="0" r="0" b="0"/>
                  <wp:docPr id="14" name="Picture 14" descr="https://www.omni403b.com/images/planDet_P3_NoEnrollme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omni403b.com/images/planDet_P3_NoEnrollment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 cy="149860"/>
                          </a:xfrm>
                          <a:prstGeom prst="rect">
                            <a:avLst/>
                          </a:prstGeom>
                          <a:noFill/>
                          <a:ln>
                            <a:noFill/>
                          </a:ln>
                        </pic:spPr>
                      </pic:pic>
                    </a:graphicData>
                  </a:graphic>
                </wp:inline>
              </w:drawing>
            </w:r>
          </w:p>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11" w:history="1">
              <w:r w:rsidRPr="009E660E">
                <w:rPr>
                  <w:rStyle w:val="Hyperlink"/>
                  <w:color w:val="auto"/>
                  <w:sz w:val="16"/>
                  <w:szCs w:val="16"/>
                  <w:u w:val="none"/>
                </w:rPr>
                <w:t>The Legend Group/ADSERV</w:t>
              </w:r>
            </w:hyperlink>
            <w:r w:rsidRPr="009E660E">
              <w:rPr>
                <w:sz w:val="16"/>
                <w:szCs w:val="16"/>
              </w:rPr>
              <w:t xml:space="preserve">   </w:t>
            </w:r>
          </w:p>
        </w:tc>
      </w:tr>
      <w:tr w:rsidR="009E660E" w:rsidTr="009E660E">
        <w:trPr>
          <w:trHeight w:val="160"/>
          <w:tblCellSpacing w:w="15" w:type="dxa"/>
        </w:trPr>
        <w:tc>
          <w:tcPr>
            <w:tcW w:w="0" w:type="auto"/>
            <w:hideMark/>
          </w:tcPr>
          <w:p w:rsidR="009E660E" w:rsidRDefault="009E660E" w:rsidP="009E660E"/>
        </w:tc>
        <w:tc>
          <w:tcPr>
            <w:tcW w:w="2242" w:type="dxa"/>
            <w:hideMark/>
          </w:tcPr>
          <w:p w:rsidR="009E660E" w:rsidRDefault="009E660E" w:rsidP="009E660E"/>
        </w:tc>
        <w:tc>
          <w:tcPr>
            <w:tcW w:w="2777" w:type="dxa"/>
            <w:hideMark/>
          </w:tcPr>
          <w:p w:rsidR="009E660E" w:rsidRPr="009E660E" w:rsidRDefault="009E660E" w:rsidP="009E660E">
            <w:pPr>
              <w:rPr>
                <w:sz w:val="16"/>
                <w:szCs w:val="16"/>
              </w:rPr>
            </w:pPr>
            <w:hyperlink r:id="rId12" w:history="1">
              <w:r w:rsidRPr="009E660E">
                <w:rPr>
                  <w:rStyle w:val="Hyperlink"/>
                  <w:color w:val="auto"/>
                  <w:sz w:val="16"/>
                  <w:szCs w:val="16"/>
                  <w:u w:val="none"/>
                </w:rPr>
                <w:t>Voya Financial (Natl NY)</w:t>
              </w:r>
            </w:hyperlink>
            <w:r w:rsidRPr="009E660E">
              <w:rPr>
                <w:sz w:val="16"/>
                <w:szCs w:val="16"/>
              </w:rPr>
              <w:t xml:space="preserve">   </w:t>
            </w:r>
          </w:p>
        </w:tc>
      </w:tr>
    </w:tbl>
    <w:p w:rsidR="00412664" w:rsidRDefault="00412664" w:rsidP="00412664">
      <w:pPr>
        <w:autoSpaceDE w:val="0"/>
        <w:autoSpaceDN w:val="0"/>
        <w:adjustRightInd w:val="0"/>
        <w:ind w:left="1800"/>
        <w:rPr>
          <w:color w:val="000000"/>
        </w:rPr>
      </w:pP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If</w:t>
      </w:r>
      <w:proofErr w:type="gramEnd"/>
      <w:r>
        <w:rPr>
          <w:color w:val="000000"/>
        </w:rPr>
        <w:t xml:space="preserve"> you wish to participate in the NYS 457b plan, then you only need to fill out their 457b Enrollment form </w:t>
      </w:r>
      <w:r>
        <w:rPr>
          <w:b/>
          <w:bCs/>
          <w:color w:val="000000"/>
        </w:rPr>
        <w:t>(#10).</w:t>
      </w:r>
      <w:r>
        <w:rPr>
          <w:color w:val="000000"/>
        </w:rPr>
        <w:t xml:space="preserve">  You do NOT need to go through a service provider or OMNI. </w:t>
      </w:r>
    </w:p>
    <w:p w:rsidR="00BB2A60" w:rsidRDefault="00BB2A60" w:rsidP="00BB2A60">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Deductions</w:t>
      </w:r>
      <w:r w:rsidR="005A330F">
        <w:rPr>
          <w:color w:val="000000"/>
        </w:rPr>
        <w:t>,</w:t>
      </w:r>
      <w:r>
        <w:rPr>
          <w:color w:val="000000"/>
        </w:rPr>
        <w:t xml:space="preserve"> as elected</w:t>
      </w:r>
      <w:r w:rsidR="005A330F">
        <w:rPr>
          <w:color w:val="000000"/>
        </w:rPr>
        <w:t>,</w:t>
      </w:r>
      <w:r w:rsidR="008F4CAF">
        <w:rPr>
          <w:color w:val="000000"/>
        </w:rPr>
        <w:t xml:space="preserve"> are taken each paycheck during the school </w:t>
      </w:r>
      <w:r>
        <w:rPr>
          <w:color w:val="000000"/>
        </w:rPr>
        <w:t>year.</w:t>
      </w:r>
      <w:r w:rsidR="00770B29">
        <w:rPr>
          <w:color w:val="000000"/>
        </w:rPr>
        <w:t xml:space="preserve"> 10-month positions do not have deductions taken over the summer unless specifically requested.</w:t>
      </w:r>
    </w:p>
    <w:p w:rsidR="00412664" w:rsidRDefault="00412664" w:rsidP="00BB2A60">
      <w:pPr>
        <w:tabs>
          <w:tab w:val="left" w:pos="1440"/>
        </w:tabs>
        <w:autoSpaceDE w:val="0"/>
        <w:autoSpaceDN w:val="0"/>
        <w:adjustRightInd w:val="0"/>
        <w:rPr>
          <w:color w:val="000000"/>
        </w:rPr>
      </w:pPr>
    </w:p>
    <w:p w:rsidR="00412664" w:rsidRDefault="00412664" w:rsidP="00412664">
      <w:pPr>
        <w:tabs>
          <w:tab w:val="left" w:pos="1440"/>
        </w:tabs>
        <w:autoSpaceDE w:val="0"/>
        <w:autoSpaceDN w:val="0"/>
        <w:adjustRightInd w:val="0"/>
        <w:ind w:left="360"/>
        <w:rPr>
          <w:color w:val="000000"/>
        </w:rPr>
      </w:pPr>
      <w:r>
        <w:rPr>
          <w:color w:val="000000"/>
        </w:rPr>
        <w:t>8.   Lunch Charges</w:t>
      </w:r>
    </w:p>
    <w:p w:rsidR="004A6AD4" w:rsidRPr="008F4CAF" w:rsidRDefault="00412664" w:rsidP="008F4CAF">
      <w:pPr>
        <w:numPr>
          <w:ilvl w:val="0"/>
          <w:numId w:val="5"/>
        </w:numPr>
        <w:tabs>
          <w:tab w:val="left" w:pos="1440"/>
        </w:tabs>
        <w:autoSpaceDE w:val="0"/>
        <w:autoSpaceDN w:val="0"/>
        <w:adjustRightInd w:val="0"/>
        <w:ind w:left="1440" w:hanging="360"/>
        <w:rPr>
          <w:color w:val="000000"/>
        </w:rPr>
      </w:pPr>
      <w:r>
        <w:rPr>
          <w:color w:val="000000"/>
        </w:rPr>
        <w:t xml:space="preserve">Faculty &amp; Staff are </w:t>
      </w:r>
      <w:r w:rsidR="00B85003">
        <w:rPr>
          <w:color w:val="000000"/>
        </w:rPr>
        <w:t>not</w:t>
      </w:r>
      <w:r>
        <w:rPr>
          <w:color w:val="000000"/>
        </w:rPr>
        <w:t xml:space="preserve"> allowed to "charge" anything in the cafeteria. You can pre-pay on your account or pay as you go. </w:t>
      </w:r>
    </w:p>
    <w:p w:rsidR="005A330F" w:rsidRDefault="005A330F" w:rsidP="005A330F">
      <w:pPr>
        <w:autoSpaceDE w:val="0"/>
        <w:autoSpaceDN w:val="0"/>
        <w:adjustRightInd w:val="0"/>
        <w:ind w:left="360"/>
        <w:rPr>
          <w:color w:val="000000"/>
        </w:rPr>
      </w:pPr>
    </w:p>
    <w:p w:rsidR="005A330F" w:rsidRDefault="005A330F" w:rsidP="005A330F">
      <w:pPr>
        <w:numPr>
          <w:ilvl w:val="0"/>
          <w:numId w:val="6"/>
        </w:numPr>
        <w:autoSpaceDE w:val="0"/>
        <w:autoSpaceDN w:val="0"/>
        <w:adjustRightInd w:val="0"/>
        <w:rPr>
          <w:color w:val="000000"/>
        </w:rPr>
      </w:pPr>
      <w:r>
        <w:rPr>
          <w:color w:val="000000"/>
        </w:rPr>
        <w:t>Other Deductions</w:t>
      </w:r>
    </w:p>
    <w:p w:rsidR="009E660E" w:rsidRDefault="009E660E" w:rsidP="009E660E">
      <w:pPr>
        <w:autoSpaceDE w:val="0"/>
        <w:autoSpaceDN w:val="0"/>
        <w:adjustRightInd w:val="0"/>
        <w:ind w:left="1440"/>
        <w:rPr>
          <w:rFonts w:ascii="Helv" w:hAnsi="Helv" w:cs="Helv"/>
          <w:color w:val="000000"/>
          <w:sz w:val="20"/>
          <w:szCs w:val="20"/>
        </w:rPr>
      </w:pPr>
      <w:r w:rsidRPr="005A330F">
        <w:rPr>
          <w:color w:val="000000"/>
          <w:u w:val="single"/>
        </w:rPr>
        <w:t>Vote Cope</w:t>
      </w:r>
      <w:r>
        <w:rPr>
          <w:color w:val="000000"/>
        </w:rPr>
        <w:t>-</w:t>
      </w:r>
      <w:r w:rsidRPr="005A330F">
        <w:rPr>
          <w:color w:val="000000"/>
          <w:sz w:val="20"/>
          <w:szCs w:val="20"/>
        </w:rPr>
        <w:t>Deductions are taken last check in Sept through last check in June</w:t>
      </w:r>
      <w:r>
        <w:rPr>
          <w:color w:val="000000"/>
          <w:sz w:val="20"/>
          <w:szCs w:val="20"/>
        </w:rPr>
        <w:t xml:space="preserve"> (</w:t>
      </w:r>
      <w:r w:rsidRPr="005A330F">
        <w:rPr>
          <w:color w:val="000000"/>
          <w:sz w:val="20"/>
          <w:szCs w:val="20"/>
        </w:rPr>
        <w:t>20 pays</w:t>
      </w:r>
      <w:r>
        <w:rPr>
          <w:color w:val="000000"/>
          <w:sz w:val="20"/>
          <w:szCs w:val="20"/>
        </w:rPr>
        <w:t>)</w:t>
      </w:r>
    </w:p>
    <w:p w:rsidR="009E660E" w:rsidRDefault="009E660E" w:rsidP="009E660E">
      <w:pPr>
        <w:autoSpaceDE w:val="0"/>
        <w:autoSpaceDN w:val="0"/>
        <w:adjustRightInd w:val="0"/>
        <w:ind w:left="1440"/>
        <w:rPr>
          <w:color w:val="000000"/>
          <w:sz w:val="20"/>
          <w:szCs w:val="20"/>
        </w:rPr>
      </w:pPr>
      <w:r>
        <w:rPr>
          <w:color w:val="000000"/>
          <w:u w:val="single"/>
        </w:rPr>
        <w:t>Teacher Dues</w:t>
      </w:r>
      <w:r>
        <w:rPr>
          <w:color w:val="000000"/>
        </w:rPr>
        <w:t>-</w:t>
      </w:r>
      <w:r>
        <w:rPr>
          <w:color w:val="000000"/>
          <w:sz w:val="20"/>
          <w:szCs w:val="20"/>
        </w:rPr>
        <w:t>Deductions are taken last check in Sept through last check in May (18 pays)</w:t>
      </w:r>
    </w:p>
    <w:p w:rsidR="009E660E" w:rsidRPr="00E66F16" w:rsidRDefault="009E660E" w:rsidP="009E660E">
      <w:pPr>
        <w:autoSpaceDE w:val="0"/>
        <w:autoSpaceDN w:val="0"/>
        <w:adjustRightInd w:val="0"/>
        <w:ind w:left="1440"/>
        <w:rPr>
          <w:color w:val="000000"/>
          <w:sz w:val="20"/>
          <w:szCs w:val="20"/>
        </w:rPr>
      </w:pPr>
      <w:r>
        <w:rPr>
          <w:color w:val="000000"/>
          <w:u w:val="single"/>
        </w:rPr>
        <w:t>Teacher Retirement Loans</w:t>
      </w:r>
      <w:r>
        <w:rPr>
          <w:color w:val="000000"/>
          <w:sz w:val="20"/>
          <w:szCs w:val="20"/>
        </w:rPr>
        <w:t>-Deductions are taken every check, except in January when there are 3 pay periods in this month, no deductions for loans are taken in that 3</w:t>
      </w:r>
      <w:r w:rsidRPr="00E66F16">
        <w:rPr>
          <w:color w:val="000000"/>
          <w:sz w:val="20"/>
          <w:szCs w:val="20"/>
          <w:vertAlign w:val="superscript"/>
        </w:rPr>
        <w:t>rd</w:t>
      </w:r>
      <w:r>
        <w:rPr>
          <w:color w:val="000000"/>
          <w:sz w:val="20"/>
          <w:szCs w:val="20"/>
        </w:rPr>
        <w:t xml:space="preserve"> pay period of the month. </w:t>
      </w:r>
    </w:p>
    <w:p w:rsidR="00364C1E" w:rsidRPr="00E66F16" w:rsidRDefault="00364C1E" w:rsidP="009E660E">
      <w:pPr>
        <w:autoSpaceDE w:val="0"/>
        <w:autoSpaceDN w:val="0"/>
        <w:adjustRightInd w:val="0"/>
        <w:ind w:left="1440"/>
        <w:rPr>
          <w:color w:val="000000"/>
          <w:sz w:val="20"/>
          <w:szCs w:val="20"/>
        </w:rPr>
      </w:pPr>
    </w:p>
    <w:sectPr w:rsidR="00364C1E" w:rsidRPr="00E66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FAC064"/>
    <w:lvl w:ilvl="0">
      <w:numFmt w:val="bullet"/>
      <w:lvlText w:val="*"/>
      <w:lvlJc w:val="left"/>
    </w:lvl>
  </w:abstractNum>
  <w:abstractNum w:abstractNumId="1" w15:restartNumberingAfterBreak="0">
    <w:nsid w:val="19021CE1"/>
    <w:multiLevelType w:val="hybridMultilevel"/>
    <w:tmpl w:val="521A14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C067A0"/>
    <w:multiLevelType w:val="hybridMultilevel"/>
    <w:tmpl w:val="6FCA05B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8C2C4D"/>
    <w:multiLevelType w:val="hybridMultilevel"/>
    <w:tmpl w:val="3B7C71F8"/>
    <w:lvl w:ilvl="0" w:tplc="F6A83554">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505A0B"/>
    <w:multiLevelType w:val="hybridMultilevel"/>
    <w:tmpl w:val="5D026B5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20A6069"/>
    <w:multiLevelType w:val="hybridMultilevel"/>
    <w:tmpl w:val="6C70835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4"/>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D7"/>
    <w:rsid w:val="0000694A"/>
    <w:rsid w:val="00021F87"/>
    <w:rsid w:val="00041B3F"/>
    <w:rsid w:val="00065B97"/>
    <w:rsid w:val="00085062"/>
    <w:rsid w:val="00094787"/>
    <w:rsid w:val="000B026A"/>
    <w:rsid w:val="000D12B5"/>
    <w:rsid w:val="000E6B15"/>
    <w:rsid w:val="001048CB"/>
    <w:rsid w:val="001077E7"/>
    <w:rsid w:val="00132F30"/>
    <w:rsid w:val="001417B6"/>
    <w:rsid w:val="0014666C"/>
    <w:rsid w:val="00155287"/>
    <w:rsid w:val="00176B1B"/>
    <w:rsid w:val="0020571D"/>
    <w:rsid w:val="002158C5"/>
    <w:rsid w:val="002350A1"/>
    <w:rsid w:val="00254271"/>
    <w:rsid w:val="00273A1D"/>
    <w:rsid w:val="00274D53"/>
    <w:rsid w:val="002761A5"/>
    <w:rsid w:val="00295229"/>
    <w:rsid w:val="002B134E"/>
    <w:rsid w:val="002C0AFD"/>
    <w:rsid w:val="002F507E"/>
    <w:rsid w:val="00315137"/>
    <w:rsid w:val="00327A48"/>
    <w:rsid w:val="00346E46"/>
    <w:rsid w:val="003622BC"/>
    <w:rsid w:val="00364C1E"/>
    <w:rsid w:val="00376FE2"/>
    <w:rsid w:val="0038071F"/>
    <w:rsid w:val="00386F9B"/>
    <w:rsid w:val="003B0C18"/>
    <w:rsid w:val="003C450D"/>
    <w:rsid w:val="003F0A90"/>
    <w:rsid w:val="00412664"/>
    <w:rsid w:val="004255FD"/>
    <w:rsid w:val="004500D9"/>
    <w:rsid w:val="00481455"/>
    <w:rsid w:val="004851AC"/>
    <w:rsid w:val="00495F01"/>
    <w:rsid w:val="004A6AD4"/>
    <w:rsid w:val="004B1E27"/>
    <w:rsid w:val="004C274C"/>
    <w:rsid w:val="0052326D"/>
    <w:rsid w:val="005A330F"/>
    <w:rsid w:val="005A5ECD"/>
    <w:rsid w:val="005C003F"/>
    <w:rsid w:val="005C3898"/>
    <w:rsid w:val="005D19AE"/>
    <w:rsid w:val="006177E1"/>
    <w:rsid w:val="00663421"/>
    <w:rsid w:val="006757CF"/>
    <w:rsid w:val="0068745A"/>
    <w:rsid w:val="00690077"/>
    <w:rsid w:val="00690C31"/>
    <w:rsid w:val="006B0E2D"/>
    <w:rsid w:val="006D40AA"/>
    <w:rsid w:val="00715010"/>
    <w:rsid w:val="00721EE4"/>
    <w:rsid w:val="00722D80"/>
    <w:rsid w:val="00726D82"/>
    <w:rsid w:val="00745B64"/>
    <w:rsid w:val="00764601"/>
    <w:rsid w:val="00770B29"/>
    <w:rsid w:val="00786B04"/>
    <w:rsid w:val="007A1C3E"/>
    <w:rsid w:val="007A2ED1"/>
    <w:rsid w:val="007C739A"/>
    <w:rsid w:val="007F76DD"/>
    <w:rsid w:val="0080652A"/>
    <w:rsid w:val="00811356"/>
    <w:rsid w:val="00813D3A"/>
    <w:rsid w:val="00867F38"/>
    <w:rsid w:val="008D07C0"/>
    <w:rsid w:val="008F48A2"/>
    <w:rsid w:val="008F4CAF"/>
    <w:rsid w:val="009205C2"/>
    <w:rsid w:val="009478AB"/>
    <w:rsid w:val="00947A07"/>
    <w:rsid w:val="00964849"/>
    <w:rsid w:val="00973A28"/>
    <w:rsid w:val="0098273B"/>
    <w:rsid w:val="009A573E"/>
    <w:rsid w:val="009D21EA"/>
    <w:rsid w:val="009E458C"/>
    <w:rsid w:val="009E4DE9"/>
    <w:rsid w:val="009E5E47"/>
    <w:rsid w:val="009E660E"/>
    <w:rsid w:val="009E6761"/>
    <w:rsid w:val="009F5010"/>
    <w:rsid w:val="00A301C3"/>
    <w:rsid w:val="00A34DD8"/>
    <w:rsid w:val="00A528E2"/>
    <w:rsid w:val="00A9376F"/>
    <w:rsid w:val="00AB01E6"/>
    <w:rsid w:val="00AE065D"/>
    <w:rsid w:val="00AF657F"/>
    <w:rsid w:val="00B07E97"/>
    <w:rsid w:val="00B15EED"/>
    <w:rsid w:val="00B27F7B"/>
    <w:rsid w:val="00B43BB2"/>
    <w:rsid w:val="00B54513"/>
    <w:rsid w:val="00B56572"/>
    <w:rsid w:val="00B5785B"/>
    <w:rsid w:val="00B84C21"/>
    <w:rsid w:val="00B85003"/>
    <w:rsid w:val="00B8500B"/>
    <w:rsid w:val="00B87557"/>
    <w:rsid w:val="00B91FE9"/>
    <w:rsid w:val="00B97CA3"/>
    <w:rsid w:val="00BA40D8"/>
    <w:rsid w:val="00BB2A60"/>
    <w:rsid w:val="00BE4F54"/>
    <w:rsid w:val="00C01358"/>
    <w:rsid w:val="00C1360E"/>
    <w:rsid w:val="00C326A3"/>
    <w:rsid w:val="00C33A03"/>
    <w:rsid w:val="00C53771"/>
    <w:rsid w:val="00CB166B"/>
    <w:rsid w:val="00CB6D08"/>
    <w:rsid w:val="00CC17E2"/>
    <w:rsid w:val="00CC18C4"/>
    <w:rsid w:val="00CD09E6"/>
    <w:rsid w:val="00CD55DB"/>
    <w:rsid w:val="00CE6AF7"/>
    <w:rsid w:val="00D01100"/>
    <w:rsid w:val="00D02BC5"/>
    <w:rsid w:val="00D04E62"/>
    <w:rsid w:val="00D43390"/>
    <w:rsid w:val="00D467F4"/>
    <w:rsid w:val="00D636A1"/>
    <w:rsid w:val="00D73334"/>
    <w:rsid w:val="00D912AA"/>
    <w:rsid w:val="00DA28E8"/>
    <w:rsid w:val="00DB1771"/>
    <w:rsid w:val="00DD7019"/>
    <w:rsid w:val="00DE7841"/>
    <w:rsid w:val="00DF5DAD"/>
    <w:rsid w:val="00E129A2"/>
    <w:rsid w:val="00E237CD"/>
    <w:rsid w:val="00E247F0"/>
    <w:rsid w:val="00E66F16"/>
    <w:rsid w:val="00E74FBC"/>
    <w:rsid w:val="00E904D0"/>
    <w:rsid w:val="00EA4ED7"/>
    <w:rsid w:val="00EF3484"/>
    <w:rsid w:val="00F03974"/>
    <w:rsid w:val="00F46A3F"/>
    <w:rsid w:val="00F51300"/>
    <w:rsid w:val="00F9549A"/>
    <w:rsid w:val="00FA5276"/>
    <w:rsid w:val="00FB2C6C"/>
    <w:rsid w:val="00FB3575"/>
    <w:rsid w:val="00FB5411"/>
    <w:rsid w:val="00FD3C8B"/>
    <w:rsid w:val="00FF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FC3F0C-337C-44CC-B69B-FBF02C30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F76DD"/>
    <w:rPr>
      <w:i/>
      <w:iCs/>
    </w:rPr>
  </w:style>
  <w:style w:type="character" w:styleId="Hyperlink">
    <w:name w:val="Hyperlink"/>
    <w:rsid w:val="005C3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19259">
      <w:bodyDiv w:val="1"/>
      <w:marLeft w:val="0"/>
      <w:marRight w:val="0"/>
      <w:marTop w:val="0"/>
      <w:marBottom w:val="0"/>
      <w:divBdr>
        <w:top w:val="none" w:sz="0" w:space="0" w:color="auto"/>
        <w:left w:val="none" w:sz="0" w:space="0" w:color="auto"/>
        <w:bottom w:val="none" w:sz="0" w:space="0" w:color="auto"/>
        <w:right w:val="none" w:sz="0" w:space="0" w:color="auto"/>
      </w:divBdr>
      <w:divsChild>
        <w:div w:id="1561860665">
          <w:marLeft w:val="0"/>
          <w:marRight w:val="0"/>
          <w:marTop w:val="0"/>
          <w:marBottom w:val="0"/>
          <w:divBdr>
            <w:top w:val="none" w:sz="0" w:space="0" w:color="auto"/>
            <w:left w:val="none" w:sz="0" w:space="0" w:color="auto"/>
            <w:bottom w:val="none" w:sz="0" w:space="0" w:color="auto"/>
            <w:right w:val="none" w:sz="0" w:space="0" w:color="auto"/>
          </w:divBdr>
        </w:div>
        <w:div w:id="350036185">
          <w:marLeft w:val="0"/>
          <w:marRight w:val="0"/>
          <w:marTop w:val="0"/>
          <w:marBottom w:val="0"/>
          <w:divBdr>
            <w:top w:val="none" w:sz="0" w:space="0" w:color="auto"/>
            <w:left w:val="none" w:sz="0" w:space="0" w:color="auto"/>
            <w:bottom w:val="none" w:sz="0" w:space="0" w:color="auto"/>
            <w:right w:val="none" w:sz="0" w:space="0" w:color="auto"/>
          </w:divBdr>
        </w:div>
        <w:div w:id="816072180">
          <w:marLeft w:val="0"/>
          <w:marRight w:val="0"/>
          <w:marTop w:val="0"/>
          <w:marBottom w:val="0"/>
          <w:divBdr>
            <w:top w:val="none" w:sz="0" w:space="0" w:color="auto"/>
            <w:left w:val="none" w:sz="0" w:space="0" w:color="auto"/>
            <w:bottom w:val="none" w:sz="0" w:space="0" w:color="auto"/>
            <w:right w:val="none" w:sz="0" w:space="0" w:color="auto"/>
          </w:divBdr>
        </w:div>
        <w:div w:id="1051853948">
          <w:marLeft w:val="0"/>
          <w:marRight w:val="0"/>
          <w:marTop w:val="0"/>
          <w:marBottom w:val="0"/>
          <w:divBdr>
            <w:top w:val="none" w:sz="0" w:space="0" w:color="auto"/>
            <w:left w:val="none" w:sz="0" w:space="0" w:color="auto"/>
            <w:bottom w:val="none" w:sz="0" w:space="0" w:color="auto"/>
            <w:right w:val="none" w:sz="0" w:space="0" w:color="auto"/>
          </w:divBdr>
        </w:div>
        <w:div w:id="501435754">
          <w:marLeft w:val="0"/>
          <w:marRight w:val="0"/>
          <w:marTop w:val="0"/>
          <w:marBottom w:val="0"/>
          <w:divBdr>
            <w:top w:val="none" w:sz="0" w:space="0" w:color="auto"/>
            <w:left w:val="none" w:sz="0" w:space="0" w:color="auto"/>
            <w:bottom w:val="none" w:sz="0" w:space="0" w:color="auto"/>
            <w:right w:val="none" w:sz="0" w:space="0" w:color="auto"/>
          </w:divBdr>
        </w:div>
        <w:div w:id="2092195129">
          <w:marLeft w:val="0"/>
          <w:marRight w:val="0"/>
          <w:marTop w:val="0"/>
          <w:marBottom w:val="0"/>
          <w:divBdr>
            <w:top w:val="none" w:sz="0" w:space="0" w:color="auto"/>
            <w:left w:val="none" w:sz="0" w:space="0" w:color="auto"/>
            <w:bottom w:val="none" w:sz="0" w:space="0" w:color="auto"/>
            <w:right w:val="none" w:sz="0" w:space="0" w:color="auto"/>
          </w:divBdr>
        </w:div>
        <w:div w:id="40567797">
          <w:marLeft w:val="0"/>
          <w:marRight w:val="0"/>
          <w:marTop w:val="0"/>
          <w:marBottom w:val="0"/>
          <w:divBdr>
            <w:top w:val="none" w:sz="0" w:space="0" w:color="auto"/>
            <w:left w:val="none" w:sz="0" w:space="0" w:color="auto"/>
            <w:bottom w:val="none" w:sz="0" w:space="0" w:color="auto"/>
            <w:right w:val="none" w:sz="0" w:space="0" w:color="auto"/>
          </w:divBdr>
        </w:div>
        <w:div w:id="1258751524">
          <w:marLeft w:val="0"/>
          <w:marRight w:val="0"/>
          <w:marTop w:val="0"/>
          <w:marBottom w:val="0"/>
          <w:divBdr>
            <w:top w:val="none" w:sz="0" w:space="0" w:color="auto"/>
            <w:left w:val="none" w:sz="0" w:space="0" w:color="auto"/>
            <w:bottom w:val="none" w:sz="0" w:space="0" w:color="auto"/>
            <w:right w:val="none" w:sz="0" w:space="0" w:color="auto"/>
          </w:divBdr>
        </w:div>
        <w:div w:id="779885018">
          <w:marLeft w:val="0"/>
          <w:marRight w:val="0"/>
          <w:marTop w:val="0"/>
          <w:marBottom w:val="0"/>
          <w:divBdr>
            <w:top w:val="none" w:sz="0" w:space="0" w:color="auto"/>
            <w:left w:val="none" w:sz="0" w:space="0" w:color="auto"/>
            <w:bottom w:val="none" w:sz="0" w:space="0" w:color="auto"/>
            <w:right w:val="none" w:sz="0" w:space="0" w:color="auto"/>
          </w:divBdr>
        </w:div>
        <w:div w:id="1269464595">
          <w:marLeft w:val="0"/>
          <w:marRight w:val="0"/>
          <w:marTop w:val="0"/>
          <w:marBottom w:val="0"/>
          <w:divBdr>
            <w:top w:val="none" w:sz="0" w:space="0" w:color="auto"/>
            <w:left w:val="none" w:sz="0" w:space="0" w:color="auto"/>
            <w:bottom w:val="none" w:sz="0" w:space="0" w:color="auto"/>
            <w:right w:val="none" w:sz="0" w:space="0" w:color="auto"/>
          </w:divBdr>
        </w:div>
        <w:div w:id="1507402067">
          <w:marLeft w:val="0"/>
          <w:marRight w:val="0"/>
          <w:marTop w:val="0"/>
          <w:marBottom w:val="0"/>
          <w:divBdr>
            <w:top w:val="none" w:sz="0" w:space="0" w:color="auto"/>
            <w:left w:val="none" w:sz="0" w:space="0" w:color="auto"/>
            <w:bottom w:val="none" w:sz="0" w:space="0" w:color="auto"/>
            <w:right w:val="none" w:sz="0" w:space="0" w:color="auto"/>
          </w:divBdr>
        </w:div>
        <w:div w:id="2115589774">
          <w:marLeft w:val="0"/>
          <w:marRight w:val="0"/>
          <w:marTop w:val="0"/>
          <w:marBottom w:val="0"/>
          <w:divBdr>
            <w:top w:val="none" w:sz="0" w:space="0" w:color="auto"/>
            <w:left w:val="none" w:sz="0" w:space="0" w:color="auto"/>
            <w:bottom w:val="none" w:sz="0" w:space="0" w:color="auto"/>
            <w:right w:val="none" w:sz="0" w:space="0" w:color="auto"/>
          </w:divBdr>
        </w:div>
        <w:div w:id="508449782">
          <w:marLeft w:val="0"/>
          <w:marRight w:val="0"/>
          <w:marTop w:val="0"/>
          <w:marBottom w:val="0"/>
          <w:divBdr>
            <w:top w:val="none" w:sz="0" w:space="0" w:color="auto"/>
            <w:left w:val="none" w:sz="0" w:space="0" w:color="auto"/>
            <w:bottom w:val="none" w:sz="0" w:space="0" w:color="auto"/>
            <w:right w:val="none" w:sz="0" w:space="0" w:color="auto"/>
          </w:divBdr>
        </w:div>
        <w:div w:id="351146044">
          <w:marLeft w:val="0"/>
          <w:marRight w:val="0"/>
          <w:marTop w:val="0"/>
          <w:marBottom w:val="0"/>
          <w:divBdr>
            <w:top w:val="none" w:sz="0" w:space="0" w:color="auto"/>
            <w:left w:val="none" w:sz="0" w:space="0" w:color="auto"/>
            <w:bottom w:val="none" w:sz="0" w:space="0" w:color="auto"/>
            <w:right w:val="none" w:sz="0" w:space="0" w:color="auto"/>
          </w:divBdr>
        </w:div>
        <w:div w:id="1506631980">
          <w:marLeft w:val="0"/>
          <w:marRight w:val="0"/>
          <w:marTop w:val="0"/>
          <w:marBottom w:val="0"/>
          <w:divBdr>
            <w:top w:val="none" w:sz="0" w:space="0" w:color="auto"/>
            <w:left w:val="none" w:sz="0" w:space="0" w:color="auto"/>
            <w:bottom w:val="none" w:sz="0" w:space="0" w:color="auto"/>
            <w:right w:val="none" w:sz="0" w:space="0" w:color="auto"/>
          </w:divBdr>
        </w:div>
        <w:div w:id="2103640190">
          <w:marLeft w:val="0"/>
          <w:marRight w:val="0"/>
          <w:marTop w:val="0"/>
          <w:marBottom w:val="0"/>
          <w:divBdr>
            <w:top w:val="none" w:sz="0" w:space="0" w:color="auto"/>
            <w:left w:val="none" w:sz="0" w:space="0" w:color="auto"/>
            <w:bottom w:val="none" w:sz="0" w:space="0" w:color="auto"/>
            <w:right w:val="none" w:sz="0" w:space="0" w:color="auto"/>
          </w:divBdr>
        </w:div>
        <w:div w:id="2048949747">
          <w:marLeft w:val="0"/>
          <w:marRight w:val="0"/>
          <w:marTop w:val="0"/>
          <w:marBottom w:val="0"/>
          <w:divBdr>
            <w:top w:val="none" w:sz="0" w:space="0" w:color="auto"/>
            <w:left w:val="none" w:sz="0" w:space="0" w:color="auto"/>
            <w:bottom w:val="none" w:sz="0" w:space="0" w:color="auto"/>
            <w:right w:val="none" w:sz="0" w:space="0" w:color="auto"/>
          </w:divBdr>
        </w:div>
        <w:div w:id="195324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ets.metlife.com/RPP/public/pdf/WSD_TerritoryMa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ppplus.beready2ret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axa.com/axa-products/retirement-planning/401k-403b-457b/for-employees.html" TargetMode="External"/><Relationship Id="rId11" Type="http://schemas.openxmlformats.org/officeDocument/2006/relationships/hyperlink" Target="https://www.legendgroup.com/products-services/plan-sponsor-solutions/omni-groups-p3-program/" TargetMode="External"/><Relationship Id="rId5" Type="http://schemas.openxmlformats.org/officeDocument/2006/relationships/hyperlink" Target="http://www.tbafcs.org" TargetMode="External"/><Relationship Id="rId10" Type="http://schemas.openxmlformats.org/officeDocument/2006/relationships/hyperlink" Target="http://www.planmember.com" TargetMode="External"/><Relationship Id="rId4" Type="http://schemas.openxmlformats.org/officeDocument/2006/relationships/webSettings" Target="webSettings.xml"/><Relationship Id="rId9" Type="http://schemas.openxmlformats.org/officeDocument/2006/relationships/hyperlink" Target="http://www.newyorklif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Franklinville Central Schools</Company>
  <LinksUpToDate>false</LinksUpToDate>
  <CharactersWithSpaces>5371</CharactersWithSpaces>
  <SharedDoc>false</SharedDoc>
  <HLinks>
    <vt:vector size="48" baseType="variant">
      <vt:variant>
        <vt:i4>1310736</vt:i4>
      </vt:variant>
      <vt:variant>
        <vt:i4>21</vt:i4>
      </vt:variant>
      <vt:variant>
        <vt:i4>0</vt:i4>
      </vt:variant>
      <vt:variant>
        <vt:i4>5</vt:i4>
      </vt:variant>
      <vt:variant>
        <vt:lpwstr>https://www3.legendgroup.com/accountlink/yourinvestmentprovider2.aspx</vt:lpwstr>
      </vt:variant>
      <vt:variant>
        <vt:lpwstr/>
      </vt:variant>
      <vt:variant>
        <vt:i4>2752551</vt:i4>
      </vt:variant>
      <vt:variant>
        <vt:i4>18</vt:i4>
      </vt:variant>
      <vt:variant>
        <vt:i4>0</vt:i4>
      </vt:variant>
      <vt:variant>
        <vt:i4>5</vt:i4>
      </vt:variant>
      <vt:variant>
        <vt:lpwstr>http://www.troweprice.com/</vt:lpwstr>
      </vt:variant>
      <vt:variant>
        <vt:lpwstr/>
      </vt:variant>
      <vt:variant>
        <vt:i4>5046357</vt:i4>
      </vt:variant>
      <vt:variant>
        <vt:i4>15</vt:i4>
      </vt:variant>
      <vt:variant>
        <vt:i4>0</vt:i4>
      </vt:variant>
      <vt:variant>
        <vt:i4>5</vt:i4>
      </vt:variant>
      <vt:variant>
        <vt:lpwstr>http://www.nefn.com/</vt:lpwstr>
      </vt:variant>
      <vt:variant>
        <vt:lpwstr/>
      </vt:variant>
      <vt:variant>
        <vt:i4>4522004</vt:i4>
      </vt:variant>
      <vt:variant>
        <vt:i4>12</vt:i4>
      </vt:variant>
      <vt:variant>
        <vt:i4>0</vt:i4>
      </vt:variant>
      <vt:variant>
        <vt:i4>5</vt:i4>
      </vt:variant>
      <vt:variant>
        <vt:lpwstr>http://www.metlife.com/business/retirement-and-benefits/retirement-programs-for-non-profits/</vt:lpwstr>
      </vt:variant>
      <vt:variant>
        <vt:lpwstr/>
      </vt:variant>
      <vt:variant>
        <vt:i4>1310741</vt:i4>
      </vt:variant>
      <vt:variant>
        <vt:i4>9</vt:i4>
      </vt:variant>
      <vt:variant>
        <vt:i4>0</vt:i4>
      </vt:variant>
      <vt:variant>
        <vt:i4>5</vt:i4>
      </vt:variant>
      <vt:variant>
        <vt:lpwstr>http://www6.ingretirementplans.com/SponsorExtranet/NYSUT/</vt:lpwstr>
      </vt:variant>
      <vt:variant>
        <vt:lpwstr/>
      </vt:variant>
      <vt:variant>
        <vt:i4>4587524</vt:i4>
      </vt:variant>
      <vt:variant>
        <vt:i4>6</vt:i4>
      </vt:variant>
      <vt:variant>
        <vt:i4>0</vt:i4>
      </vt:variant>
      <vt:variant>
        <vt:i4>5</vt:i4>
      </vt:variant>
      <vt:variant>
        <vt:lpwstr>http://www.equitable.com/</vt:lpwstr>
      </vt:variant>
      <vt:variant>
        <vt:lpwstr/>
      </vt:variant>
      <vt:variant>
        <vt:i4>5373970</vt:i4>
      </vt:variant>
      <vt:variant>
        <vt:i4>3</vt:i4>
      </vt:variant>
      <vt:variant>
        <vt:i4>0</vt:i4>
      </vt:variant>
      <vt:variant>
        <vt:i4>5</vt:i4>
      </vt:variant>
      <vt:variant>
        <vt:lpwstr>http://www.americanfunds.com/</vt:lpwstr>
      </vt:variant>
      <vt:variant>
        <vt:lpwstr/>
      </vt:variant>
      <vt:variant>
        <vt:i4>3014703</vt:i4>
      </vt:variant>
      <vt:variant>
        <vt:i4>0</vt:i4>
      </vt:variant>
      <vt:variant>
        <vt:i4>0</vt:i4>
      </vt:variant>
      <vt:variant>
        <vt:i4>5</vt:i4>
      </vt:variant>
      <vt:variant>
        <vt:lpwstr>http://www.tbafcs.org/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dvecchio</dc:creator>
  <cp:lastModifiedBy>Daniele Vecchio</cp:lastModifiedBy>
  <cp:revision>2</cp:revision>
  <dcterms:created xsi:type="dcterms:W3CDTF">2018-08-14T18:30:00Z</dcterms:created>
  <dcterms:modified xsi:type="dcterms:W3CDTF">2018-08-14T18:30:00Z</dcterms:modified>
</cp:coreProperties>
</file>